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475063" w:rsidRPr="00475063" w:rsidRDefault="00475063" w:rsidP="00475063">
      <w:pPr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r w:rsidRPr="00475063">
        <w:rPr>
          <w:rFonts w:cstheme="minorHAnsi"/>
          <w:b/>
          <w:bCs/>
          <w:color w:val="000000"/>
          <w:sz w:val="24"/>
          <w:szCs w:val="24"/>
        </w:rPr>
        <w:t>Ryzyka banku w kontekście finansowania franczyzobiorców</w:t>
      </w:r>
    </w:p>
    <w:bookmarkEnd w:id="0"/>
    <w:p w:rsidR="00475063" w:rsidRDefault="00475063" w:rsidP="00663D96">
      <w:pPr>
        <w:rPr>
          <w:rFonts w:cstheme="minorHAnsi"/>
          <w:b/>
          <w:bCs/>
          <w:lang w:eastAsia="pl-PL"/>
        </w:rPr>
      </w:pPr>
    </w:p>
    <w:p w:rsidR="00624273" w:rsidRPr="00F548F0" w:rsidRDefault="00475063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23</w:t>
      </w:r>
      <w:r w:rsidR="000E6499">
        <w:rPr>
          <w:rFonts w:cstheme="minorHAnsi"/>
          <w:b/>
          <w:bCs/>
          <w:lang w:eastAsia="pl-PL"/>
        </w:rPr>
        <w:t xml:space="preserve"> października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475063">
        <w:rPr>
          <w:rFonts w:cstheme="minorHAnsi"/>
        </w:rPr>
        <w:t>970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E86B52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E86B52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E86B52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E86B52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E86B52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E86B52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E86B52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52" w:rsidRDefault="00E86B52" w:rsidP="00841ABC">
      <w:pPr>
        <w:spacing w:after="0" w:line="240" w:lineRule="auto"/>
      </w:pPr>
      <w:r>
        <w:separator/>
      </w:r>
    </w:p>
  </w:endnote>
  <w:endnote w:type="continuationSeparator" w:id="0">
    <w:p w:rsidR="00E86B52" w:rsidRDefault="00E86B52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52" w:rsidRDefault="00E86B52" w:rsidP="00841ABC">
      <w:pPr>
        <w:spacing w:after="0" w:line="240" w:lineRule="auto"/>
      </w:pPr>
      <w:r>
        <w:separator/>
      </w:r>
    </w:p>
  </w:footnote>
  <w:footnote w:type="continuationSeparator" w:id="0">
    <w:p w:rsidR="00E86B52" w:rsidRDefault="00E86B52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FF8E-188E-4DC1-96A0-30976BDA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2024-09-19T04:54:00Z</dcterms:created>
  <dcterms:modified xsi:type="dcterms:W3CDTF">2024-09-19T04:54:00Z</dcterms:modified>
</cp:coreProperties>
</file>