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A3F64" w:rsidRPr="009D1930" w:rsidRDefault="009D1930" w:rsidP="000C477F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9D1930">
        <w:rPr>
          <w:rStyle w:val="ui-provider"/>
          <w:rFonts w:cstheme="minorHAnsi"/>
          <w:b/>
          <w:sz w:val="24"/>
          <w:szCs w:val="24"/>
        </w:rPr>
        <w:t>Zarządzanie ryzykiem sankcyjnym AML w instytucjach obowiązanych</w:t>
      </w:r>
    </w:p>
    <w:bookmarkEnd w:id="0"/>
    <w:p w:rsidR="00624273" w:rsidRPr="00F548F0" w:rsidRDefault="009D1930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23 maja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9D1930">
        <w:rPr>
          <w:rFonts w:cstheme="minorHAnsi"/>
        </w:rPr>
        <w:t>Kwotę 4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A6589D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A6589D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A6589D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A6589D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A6589D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A6589D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A6589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9D" w:rsidRDefault="00A6589D" w:rsidP="00841ABC">
      <w:pPr>
        <w:spacing w:after="0" w:line="240" w:lineRule="auto"/>
      </w:pPr>
      <w:r>
        <w:separator/>
      </w:r>
    </w:p>
  </w:endnote>
  <w:endnote w:type="continuationSeparator" w:id="0">
    <w:p w:rsidR="00A6589D" w:rsidRDefault="00A6589D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9D" w:rsidRDefault="00A6589D" w:rsidP="00841ABC">
      <w:pPr>
        <w:spacing w:after="0" w:line="240" w:lineRule="auto"/>
      </w:pPr>
      <w:r>
        <w:separator/>
      </w:r>
    </w:p>
  </w:footnote>
  <w:footnote w:type="continuationSeparator" w:id="0">
    <w:p w:rsidR="00A6589D" w:rsidRDefault="00A6589D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951CF"/>
    <w:rsid w:val="009A4743"/>
    <w:rsid w:val="009D1930"/>
    <w:rsid w:val="009E645B"/>
    <w:rsid w:val="00A010BC"/>
    <w:rsid w:val="00A01BDF"/>
    <w:rsid w:val="00A55AB1"/>
    <w:rsid w:val="00A6589D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ui-provider">
    <w:name w:val="ui-provider"/>
    <w:basedOn w:val="Domylnaczcionkaakapitu"/>
    <w:rsid w:val="009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66601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0625C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0648-BC42-4C50-9DDA-344C1E37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2023-03-06T18:42:00Z</dcterms:created>
  <dcterms:modified xsi:type="dcterms:W3CDTF">2023-03-06T18:42:00Z</dcterms:modified>
</cp:coreProperties>
</file>