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507963" w:rsidRPr="00507963" w:rsidRDefault="00507963" w:rsidP="00507963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  <w:bookmarkStart w:id="0" w:name="_Hlk126345153"/>
      <w:r w:rsidRPr="00507963">
        <w:rPr>
          <w:rFonts w:asciiTheme="minorHAnsi" w:hAnsiTheme="minorHAnsi" w:cstheme="minorHAnsi"/>
          <w:b/>
          <w:color w:val="auto"/>
        </w:rPr>
        <w:t>Postępowanie dowodowe w sporze inwestora indywidualnego z bankiem – praktyka i orzecznictwo</w:t>
      </w:r>
      <w:bookmarkEnd w:id="0"/>
    </w:p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  <w:bookmarkStart w:id="1" w:name="_GoBack"/>
      <w:bookmarkEnd w:id="1"/>
    </w:p>
    <w:p w:rsidR="00624273" w:rsidRPr="00F548F0" w:rsidRDefault="00507963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21 listopada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983698">
        <w:rPr>
          <w:rFonts w:cstheme="minorHAnsi"/>
        </w:rPr>
        <w:t>Kwotę 2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CB15F5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CB15F5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CB15F5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CB15F5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CB15F5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CB15F5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CB15F5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F5" w:rsidRDefault="00CB15F5" w:rsidP="00841ABC">
      <w:pPr>
        <w:spacing w:after="0" w:line="240" w:lineRule="auto"/>
      </w:pPr>
      <w:r>
        <w:separator/>
      </w:r>
    </w:p>
  </w:endnote>
  <w:endnote w:type="continuationSeparator" w:id="0">
    <w:p w:rsidR="00CB15F5" w:rsidRDefault="00CB15F5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F5" w:rsidRDefault="00CB15F5" w:rsidP="00841ABC">
      <w:pPr>
        <w:spacing w:after="0" w:line="240" w:lineRule="auto"/>
      </w:pPr>
      <w:r>
        <w:separator/>
      </w:r>
    </w:p>
  </w:footnote>
  <w:footnote w:type="continuationSeparator" w:id="0">
    <w:p w:rsidR="00CB15F5" w:rsidRDefault="00CB15F5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963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B15F5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75956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466F8"/>
    <w:rsid w:val="00366601"/>
    <w:rsid w:val="00487C2A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924D-C90A-4B72-93B9-F88ADA2E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2023-02-22T08:43:00Z</dcterms:created>
  <dcterms:modified xsi:type="dcterms:W3CDTF">2023-02-22T08:43:00Z</dcterms:modified>
</cp:coreProperties>
</file>